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Информация о предложении Муниципального унитарного предприятия города Абакана «Водоканал» об установлении тарифов в сфере водоотведения на 2019-2023 годы</w:t>
      </w:r>
    </w:p>
    <w:p>
      <w:pPr>
        <w:pStyle w:val="Normal"/>
        <w:widowControl w:val="false"/>
        <w:jc w:val="center"/>
        <w:rPr/>
      </w:pPr>
      <w:r>
        <w:rPr/>
      </w:r>
    </w:p>
    <w:tbl>
      <w:tblPr>
        <w:tblW w:w="10207" w:type="dxa"/>
        <w:jc w:val="left"/>
        <w:tblInd w:w="-36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245"/>
        <w:gridCol w:w="4961"/>
      </w:tblGrid>
      <w:tr>
        <w:trPr>
          <w:trHeight w:val="29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Предлагаемый метод регулирования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 индексации</w:t>
            </w:r>
          </w:p>
        </w:tc>
      </w:tr>
      <w:tr>
        <w:trPr>
          <w:trHeight w:val="28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Расчетная величина тарифов,</w:t>
            </w:r>
          </w:p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период действия тарифов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 руб. 56 коп. – 2019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 руб. 56 коп. – 2020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 руб. 28 коп. – 2021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 руб. 35 коп. – 2022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 руб. 47 коп. – 2023 год.</w:t>
            </w:r>
          </w:p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64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64"/>
              <w:jc w:val="both"/>
              <w:rPr/>
            </w:pPr>
            <w:r>
              <w:rPr/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а) базовый уровень операционных расходов (2019 год) – 135 013,9 тыс. руб.;</w:t>
            </w:r>
          </w:p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б) индекс эффективности операционных расходов – 1,0 %</w:t>
            </w:r>
          </w:p>
          <w:p>
            <w:pPr>
              <w:pStyle w:val="ConsPlusCell"/>
              <w:spacing w:lineRule="auto" w:line="264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в) нормативный уровень прибыли –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1%;</w:t>
            </w:r>
          </w:p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 xml:space="preserve">г) удельный расход электрической энергии -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0,52 кВтч/м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>
        <w:trPr>
          <w:trHeight w:val="28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64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64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64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64"/>
              <w:jc w:val="both"/>
              <w:rPr/>
            </w:pPr>
            <w:r>
              <w:rPr/>
              <w:t>Сведения о необходимой валовой выручке на соответствующий период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316 216,1 тыс. руб. – 2019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316 198,7 тыс. руб. – 2020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313 596,7 тыс. руб. – 2021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323 645,5 тыс. руб. – 2022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334 244,1 тыс. руб. – 2023 год</w:t>
            </w:r>
          </w:p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64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64"/>
              <w:jc w:val="both"/>
              <w:rPr/>
            </w:pPr>
            <w:r>
              <w:rPr/>
              <w:t>Годовой объем водоотведения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9 422,4 тыс.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- 2019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9 422,4 тыс.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- 2020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9 422,4 тыс.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- 2021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9 422,4 тыс.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- 2022 год;</w:t>
            </w:r>
          </w:p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9 422,4 тыс.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- 2023 год</w:t>
            </w:r>
          </w:p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64"/>
              <w:rPr/>
            </w:pPr>
            <w:r>
              <w:rPr/>
              <w:t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15.05.2013):</w:t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jc w:val="right"/>
              <w:rPr>
                <w:i/>
                <w:i/>
              </w:rPr>
            </w:pPr>
            <w:r>
              <w:rPr>
                <w:i/>
              </w:rPr>
              <w:t>в т.ч.  недополученный доход за 2015 г.</w:t>
            </w:r>
          </w:p>
          <w:p>
            <w:pPr>
              <w:pStyle w:val="Normal"/>
              <w:spacing w:lineRule="auto" w:line="264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pacing w:lineRule="auto" w:line="264"/>
              <w:jc w:val="right"/>
              <w:rPr>
                <w:i/>
                <w:i/>
              </w:rPr>
            </w:pPr>
            <w:r>
              <w:rPr>
                <w:i/>
              </w:rPr>
              <w:t>недополученный доход за 2016 г.</w:t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jc w:val="right"/>
              <w:rPr>
                <w:i/>
                <w:i/>
              </w:rPr>
            </w:pPr>
            <w:r>
              <w:rPr>
                <w:i/>
              </w:rPr>
              <w:t>недополученный доход за 2017 г.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22 196,3 тыс. руб. – 2019 год;</w:t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9 236,3 тыс. руб. – 2020 год;</w:t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12 960,0 тыс. руб. – 2019 год;</w:t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7 902,0 тыс. руб. – 2019 год;</w:t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7 902,0 тыс. руб. – 2020 год;</w:t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1 334,3 тыс. руб. – 2019 год;</w:t>
            </w:r>
          </w:p>
          <w:p>
            <w:pPr>
              <w:pStyle w:val="ConsPlusCell"/>
              <w:spacing w:lineRule="auto" w:line="264"/>
              <w:ind w:left="-75" w:firstLine="75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1 334,3 тыс. руб. – 2020 год;</w:t>
            </w:r>
          </w:p>
        </w:tc>
      </w:tr>
      <w:tr>
        <w:trPr>
          <w:trHeight w:val="70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64"/>
              <w:rPr/>
            </w:pPr>
            <w:r>
              <w:rPr/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4 684,1 тыс. руб. – 2019 год;</w:t>
            </w:r>
          </w:p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4 684,1 тыс. руб. – 2020 год;</w:t>
            </w:r>
          </w:p>
          <w:p>
            <w:pPr>
              <w:pStyle w:val="ConsPlusCell"/>
              <w:spacing w:lineRule="auto" w:line="264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ConsPlusCell"/>
              <w:spacing w:lineRule="auto" w:line="264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Гл. бухгалтер                                 Л.С. Круглова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6" w:right="850" w:header="0" w:top="1135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fc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475e5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Cell" w:customStyle="1">
    <w:name w:val="ConsPlusCell"/>
    <w:uiPriority w:val="99"/>
    <w:qFormat/>
    <w:rsid w:val="00d75fc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4"/>
      <w:szCs w:val="22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475e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LibreOffice/5.4.6.2$Windows_x86 LibreOffice_project/4014ce260a04f1026ba855d3b8d91541c224eab8</Application>
  <Pages>2</Pages>
  <Words>335</Words>
  <Characters>1919</Characters>
  <CharactersWithSpaces>2267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2015-05-05T03:08:00Z</dcterms:created>
  <dc:creator>Катя</dc:creator>
  <dc:description/>
  <dc:language>ru-RU</dc:language>
  <cp:lastModifiedBy/>
  <cp:lastPrinted>2018-05-10T16:09:52Z</cp:lastPrinted>
  <dcterms:modified xsi:type="dcterms:W3CDTF">2018-05-11T08:25:28Z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